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10984</w:t>
      </w:r>
      <w:bookmarkStart w:id="8" w:name="_GoBack"/>
      <w:bookmarkEnd w:id="8"/>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UE and BS demodulation performance requirements for SBFD</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7.21.6</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autoSpaceDN w:val="0"/>
        <w:adjustRightInd w:val="0"/>
        <w:spacing w:before="120" w:after="120"/>
        <w:rPr>
          <w:rFonts w:hint="eastAsia"/>
          <w:szCs w:val="22"/>
          <w:lang w:val="en-US" w:eastAsia="zh-CN"/>
        </w:rPr>
      </w:pPr>
      <w:r>
        <w:t xml:space="preserve">In RAN#102, a new R19 WI on Evolution of NR duplex operation: Sub-band full duplex (SBFD) was approved, and the revised WID at RAN#104 can be found in [1]. </w:t>
      </w:r>
    </w:p>
    <w:p>
      <w:pPr>
        <w:spacing w:before="120" w:after="120"/>
        <w:rPr>
          <w:rFonts w:hint="default"/>
          <w:szCs w:val="22"/>
          <w:lang w:val="en-US" w:eastAsia="zh-CN"/>
        </w:rPr>
      </w:pPr>
      <w:r>
        <w:rPr>
          <w:rFonts w:hint="eastAsia"/>
          <w:szCs w:val="22"/>
          <w:lang w:val="en-US" w:eastAsia="zh-CN"/>
        </w:rPr>
        <w:t>The objectives related to RAN4 core and performance parts are listed.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Specify enhancements for CLI handling [RAN1, RAN2, RAN3, RAN4]</w:t>
            </w:r>
          </w:p>
          <w:p>
            <w:pPr>
              <w:numPr>
                <w:ilvl w:val="1"/>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Information exchange among gNBs, including [RAN3]</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Semi-static cell-specific SBFD time and frequency location configuration </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Measurement resource configuration, i.e., SSB and/or periodic NZP CSI-RS </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Strongest DL beam information</w:t>
            </w:r>
          </w:p>
          <w:p>
            <w:pPr>
              <w:numPr>
                <w:ilvl w:val="2"/>
                <w:numId w:val="7"/>
              </w:numPr>
              <w:tabs>
                <w:tab w:val="left" w:pos="72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CLI-mitigation request</w:t>
            </w:r>
          </w:p>
          <w:p>
            <w:pPr>
              <w:numPr>
                <w:ilvl w:val="1"/>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UL resource muting for PUSCH, including [RAN1, RAN2, RAN4] </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pPr>
              <w:numPr>
                <w:ilvl w:val="2"/>
                <w:numId w:val="7"/>
              </w:numPr>
              <w:tabs>
                <w:tab w:val="left" w:pos="144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PUSCH resource mapping, i.e., rate-matching around the muted REs</w:t>
            </w:r>
          </w:p>
          <w:p>
            <w:pPr>
              <w:numPr>
                <w:ilvl w:val="2"/>
                <w:numId w:val="7"/>
              </w:numPr>
              <w:tabs>
                <w:tab w:val="left" w:pos="144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UCI resource determination in symbols with muted REs</w:t>
            </w:r>
          </w:p>
          <w:p>
            <w:pPr>
              <w:numPr>
                <w:ilvl w:val="1"/>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L1 based UE-to-UE CLI measurement and reporting based on existing CSI framework, including [RAN1, RAN2, RAN4] (Reuse major principles)</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Periodic, semi-persistent, or aperiodic measurement resource (set), i.e., SRS-RSRP resource or CLI-RSSI resource, and configuration/determination of ‘typeD’ QCL assumptions for the CLI measurement resource</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At least aperiodic reporting</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New report quantities, e.g., L1-SRS-RSRP, L1-CLI-RSSI and/or measurement resource indices</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 xml:space="preserve">UCI bits generation </w:t>
            </w:r>
          </w:p>
          <w:p>
            <w:pPr>
              <w:numPr>
                <w:ilvl w:val="2"/>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Priority rules for multiple CSI reporting</w:t>
            </w:r>
          </w:p>
          <w:p>
            <w:pPr>
              <w:numPr>
                <w:ilvl w:val="2"/>
                <w:numId w:val="7"/>
              </w:numPr>
              <w:tabs>
                <w:tab w:val="left" w:pos="1440"/>
                <w:tab w:val="left" w:pos="2880"/>
              </w:tabs>
              <w:suppressAutoHyphens w:val="0"/>
              <w:overflowPunct/>
              <w:autoSpaceDE/>
              <w:autoSpaceDN w:val="0"/>
              <w:adjustRightInd w:val="0"/>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pPr>
              <w:numPr>
                <w:ilvl w:val="0"/>
                <w:numId w:val="7"/>
              </w:numPr>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Specify applicable RRM core requirements for CLI handling mechanisms [RAN4]</w:t>
            </w:r>
          </w:p>
          <w:p>
            <w:pPr>
              <w:numPr>
                <w:ilvl w:val="0"/>
                <w:numId w:val="7"/>
              </w:numPr>
              <w:tabs>
                <w:tab w:val="left" w:pos="1440"/>
                <w:tab w:val="left" w:pos="2160"/>
              </w:tabs>
              <w:suppressAutoHyphens w:val="0"/>
              <w:overflowPunct/>
              <w:autoSpaceDE/>
              <w:autoSpaceDN w:val="0"/>
              <w:adjustRightInd w:val="0"/>
              <w:spacing w:after="160" w:line="256" w:lineRule="auto"/>
              <w:ind w:right="-99"/>
              <w:textAlignment w:val="auto"/>
              <w:rPr>
                <w:rFonts w:eastAsia="Malgun Gothic"/>
                <w:lang w:val="en-US" w:eastAsia="ko-KR"/>
              </w:rPr>
            </w:pPr>
            <w:r>
              <w:rPr>
                <w:rFonts w:eastAsia="Malgun Gothic"/>
                <w:lang w:val="en-US" w:eastAsia="ko-KR"/>
              </w:rPr>
              <w:t>Specify other RRM core requirements for SBFD operation, if identified [RAN4]</w:t>
            </w:r>
          </w:p>
          <w:p>
            <w:pPr>
              <w:overflowPunct w:val="0"/>
              <w:autoSpaceDE w:val="0"/>
              <w:autoSpaceDN w:val="0"/>
              <w:adjustRightInd w:val="0"/>
              <w:spacing w:after="180"/>
              <w:ind w:right="-99"/>
              <w:jc w:val="both"/>
              <w:textAlignment w:val="baseline"/>
              <w:rPr>
                <w:bCs/>
                <w:lang w:eastAsia="ko-KR"/>
              </w:rPr>
            </w:pPr>
            <w:r>
              <w:rPr>
                <w:rFonts w:hint="eastAsia"/>
                <w:bCs/>
                <w:lang w:eastAsia="ko-KR"/>
              </w:rPr>
              <w:t xml:space="preserve">The objectives are as </w:t>
            </w:r>
            <w:r>
              <w:rPr>
                <w:bCs/>
                <w:lang w:eastAsia="ko-KR"/>
              </w:rPr>
              <w:t>follows [RAN4]</w:t>
            </w:r>
            <w:r>
              <w:rPr>
                <w:rFonts w:hint="eastAsia"/>
                <w:bCs/>
                <w:lang w:eastAsia="ko-KR"/>
              </w:rPr>
              <w:t>:</w:t>
            </w:r>
          </w:p>
          <w:p>
            <w:pPr>
              <w:numPr>
                <w:ilvl w:val="0"/>
                <w:numId w:val="7"/>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Specify BS RF conformance requirements to support SBFD operation at gNB</w:t>
            </w:r>
          </w:p>
          <w:p>
            <w:pPr>
              <w:numPr>
                <w:ilvl w:val="0"/>
                <w:numId w:val="7"/>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Specify necessary RRM performance requirements to support SBFD operation</w:t>
            </w:r>
          </w:p>
          <w:p>
            <w:pPr>
              <w:numPr>
                <w:ilvl w:val="0"/>
                <w:numId w:val="7"/>
              </w:numPr>
              <w:overflowPunct/>
              <w:autoSpaceDE/>
              <w:autoSpaceDN/>
              <w:adjustRightInd/>
              <w:spacing w:after="160" w:line="256" w:lineRule="auto"/>
              <w:ind w:right="-99"/>
              <w:textAlignment w:val="auto"/>
              <w:rPr>
                <w:rFonts w:hint="default"/>
                <w:szCs w:val="22"/>
                <w:vertAlign w:val="baseline"/>
                <w:lang w:val="en-US" w:eastAsia="zh-CN"/>
              </w:rPr>
            </w:pPr>
            <w:r>
              <w:rPr>
                <w:rFonts w:eastAsia="Malgun Gothic"/>
                <w:lang w:val="en-US" w:eastAsia="ko-KR"/>
              </w:rPr>
              <w:t>Specify necessary BS and/or UE demodulation performance requirements to support SBFD operation</w:t>
            </w:r>
          </w:p>
        </w:tc>
      </w:tr>
    </w:tbl>
    <w:p>
      <w:pPr>
        <w:spacing w:before="120" w:after="120"/>
        <w:rPr>
          <w:rFonts w:hint="default"/>
          <w:lang w:val="en-US" w:eastAsia="zh-CN"/>
        </w:rPr>
      </w:pPr>
      <w:r>
        <w:rPr>
          <w:rFonts w:hint="eastAsia"/>
          <w:lang w:val="en-US" w:eastAsia="zh-CN"/>
        </w:rPr>
        <w:t xml:space="preserve">In this contribution, we give some initial discussion on BS and/or UE demodulation performance requirements to support SBFD operation according to the last meeting agreements. </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9"/>
        <w:rPr>
          <w:rFonts w:hint="default" w:eastAsia="宋体"/>
          <w:b/>
          <w:kern w:val="0"/>
          <w:sz w:val="24"/>
          <w:szCs w:val="24"/>
          <w:lang w:val="en-US" w:eastAsia="zh-CN"/>
        </w:rPr>
      </w:pPr>
      <w:r>
        <w:rPr>
          <w:rFonts w:hint="eastAsia"/>
          <w:b/>
          <w:kern w:val="0"/>
          <w:sz w:val="24"/>
          <w:szCs w:val="24"/>
          <w:lang w:val="en-US" w:eastAsia="zh-CN"/>
        </w:rPr>
        <w:t>UE demodulation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b/>
          <w:bCs/>
          <w:i/>
          <w:iCs/>
          <w:sz w:val="21"/>
          <w:szCs w:val="21"/>
          <w:lang w:val="en-US" w:eastAsia="zh-CN"/>
        </w:rPr>
      </w:pPr>
      <w:bookmarkStart w:id="4" w:name="OLE_LINK41"/>
      <w:bookmarkStart w:id="5" w:name="OLE_LINK23"/>
      <w:bookmarkStart w:id="6" w:name="OLE_LINK66"/>
      <w:bookmarkStart w:id="7" w:name="OLE_LINK6"/>
      <w:r>
        <w:rPr>
          <w:b/>
          <w:bCs/>
          <w:u w:val="single"/>
          <w:lang w:val="en-US" w:eastAsia="zh-CN"/>
        </w:rPr>
        <w:t>whether to introduce UE demodulation with SBFD carrier (with DL sub-band and UL sub-suband configured)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8"/>
              </w:numPr>
              <w:overflowPunct/>
              <w:autoSpaceDE/>
              <w:autoSpaceDN w:val="0"/>
              <w:adjustRightInd/>
              <w:spacing w:after="120"/>
              <w:ind w:left="720" w:firstLineChars="0"/>
              <w:jc w:val="both"/>
              <w:textAlignment w:val="auto"/>
              <w:rPr>
                <w:rFonts w:eastAsia="宋体"/>
                <w:sz w:val="21"/>
                <w:szCs w:val="21"/>
                <w:lang w:eastAsia="zh-CN"/>
              </w:rPr>
            </w:pPr>
            <w:r>
              <w:rPr>
                <w:rFonts w:hint="eastAsia" w:eastAsia="宋体"/>
                <w:sz w:val="21"/>
                <w:szCs w:val="21"/>
                <w:lang w:eastAsia="zh-CN"/>
              </w:rPr>
              <w:t>Way forward</w:t>
            </w:r>
          </w:p>
          <w:p>
            <w:pPr>
              <w:pStyle w:val="33"/>
              <w:numPr>
                <w:ilvl w:val="1"/>
                <w:numId w:val="8"/>
              </w:numPr>
              <w:overflowPunct/>
              <w:autoSpaceDE/>
              <w:autoSpaceDN w:val="0"/>
              <w:adjustRightInd/>
              <w:spacing w:after="120"/>
              <w:ind w:left="1440" w:firstLineChars="0"/>
              <w:jc w:val="both"/>
              <w:textAlignment w:val="auto"/>
              <w:rPr>
                <w:rFonts w:eastAsia="宋体"/>
                <w:sz w:val="21"/>
                <w:szCs w:val="21"/>
                <w:lang w:eastAsia="zh-CN"/>
              </w:rPr>
            </w:pPr>
            <w:r>
              <w:rPr>
                <w:rFonts w:hint="eastAsia" w:eastAsia="宋体"/>
                <w:sz w:val="21"/>
                <w:szCs w:val="21"/>
                <w:lang w:val="en-US" w:eastAsia="zh-CN"/>
              </w:rPr>
              <w:t xml:space="preserve"> </w:t>
            </w:r>
            <w:r>
              <w:rPr>
                <w:rFonts w:eastAsia="宋体"/>
                <w:sz w:val="21"/>
                <w:szCs w:val="21"/>
                <w:lang w:eastAsia="zh-CN"/>
              </w:rPr>
              <w:t>Option 1: Define limited number of additional SBFD cases</w:t>
            </w:r>
          </w:p>
          <w:p>
            <w:pPr>
              <w:pStyle w:val="33"/>
              <w:numPr>
                <w:ilvl w:val="1"/>
                <w:numId w:val="8"/>
              </w:numPr>
              <w:overflowPunct/>
              <w:autoSpaceDE/>
              <w:autoSpaceDN w:val="0"/>
              <w:adjustRightInd/>
              <w:spacing w:after="120"/>
              <w:ind w:left="1440" w:firstLineChars="0"/>
              <w:jc w:val="both"/>
              <w:textAlignment w:val="auto"/>
              <w:rPr>
                <w:rFonts w:hint="default" w:eastAsiaTheme="minorEastAsia"/>
                <w:b/>
                <w:bCs/>
                <w:i/>
                <w:iCs/>
                <w:sz w:val="21"/>
                <w:szCs w:val="21"/>
                <w:vertAlign w:val="baseline"/>
                <w:lang w:val="en-US" w:eastAsia="zh-CN"/>
              </w:rPr>
            </w:pPr>
            <w:r>
              <w:rPr>
                <w:rFonts w:hint="eastAsia" w:eastAsia="宋体"/>
                <w:sz w:val="21"/>
                <w:szCs w:val="21"/>
                <w:lang w:val="en-US" w:eastAsia="zh-CN"/>
              </w:rPr>
              <w:t xml:space="preserve"> </w:t>
            </w:r>
            <w:r>
              <w:rPr>
                <w:rFonts w:hint="eastAsia" w:eastAsia="宋体"/>
                <w:sz w:val="21"/>
                <w:szCs w:val="21"/>
                <w:lang w:eastAsia="zh-CN"/>
              </w:rPr>
              <w:t>O</w:t>
            </w:r>
            <w:r>
              <w:rPr>
                <w:rFonts w:eastAsia="宋体"/>
                <w:sz w:val="21"/>
                <w:szCs w:val="21"/>
                <w:lang w:eastAsia="zh-CN"/>
              </w:rPr>
              <w:t>ther options are not precluded</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kern w:val="2"/>
          <w:sz w:val="21"/>
          <w:lang w:val="en-US" w:eastAsia="zh-CN" w:bidi="ar-SA"/>
        </w:rPr>
      </w:pPr>
      <w:r>
        <w:rPr>
          <w:rFonts w:hint="eastAsia" w:ascii="Times New Roman" w:hAnsi="Times New Roman" w:eastAsia="宋体" w:cs="Times New Roman"/>
          <w:kern w:val="2"/>
          <w:sz w:val="21"/>
          <w:lang w:val="en-US" w:eastAsia="zh-CN" w:bidi="ar-SA"/>
        </w:rPr>
        <w:t>Currently,</w:t>
      </w:r>
      <w:r>
        <w:rPr>
          <w:rFonts w:hint="eastAsia" w:cs="Times New Roman"/>
          <w:kern w:val="2"/>
          <w:sz w:val="21"/>
          <w:lang w:val="en-US" w:eastAsia="zh-CN" w:bidi="ar-SA"/>
        </w:rPr>
        <w:t xml:space="preserve"> there still assume half duplex model in SBFD UE side. Since RAN4 agreed not to introduce UE demodulation test related with UE-UE CLI for Rel-19 SBFD aware UEs. Therefore, we do not see much possibility to introduce the new demodulation requirements for SBFD aware UEs, since no special baseband processing is assumed for UEs. We also noticed that some companies mentioned that HARQ timing is changed due to the effect of SBFD operation, which requires fewer less slots for HARQ feedback. We agree that this observation is correct, since SBFD operation involves transmitting and receiving signals simultaneously. However, the change of HARQ feedback is still meet the current system feedback design. From this point of view, there is no strong evidence to introduce new demodulation requirements for SBFD aware UEs.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iCs/>
          <w:kern w:val="2"/>
          <w:sz w:val="21"/>
          <w:lang w:val="en-US" w:eastAsia="zh-CN" w:bidi="ar-SA"/>
        </w:rPr>
      </w:pPr>
      <w:r>
        <w:rPr>
          <w:rFonts w:hint="eastAsia" w:cs="Times New Roman"/>
          <w:b/>
          <w:bCs/>
          <w:i/>
          <w:iCs/>
          <w:kern w:val="2"/>
          <w:sz w:val="21"/>
          <w:lang w:val="en-US" w:eastAsia="zh-CN" w:bidi="ar-SA"/>
        </w:rPr>
        <w:t>Proposal 1. Propose to do not define demodulation requirements for SBFD aware UEs.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kern w:val="2"/>
          <w:sz w:val="21"/>
          <w:lang w:val="en-US" w:eastAsia="zh-CN" w:bidi="ar-SA"/>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BS demodu</w:t>
      </w:r>
      <w:r>
        <w:rPr>
          <w:rFonts w:hint="eastAsia" w:cs="Times New Roman"/>
          <w:b/>
          <w:kern w:val="0"/>
          <w:sz w:val="24"/>
          <w:szCs w:val="24"/>
          <w:lang w:val="en-US" w:eastAsia="zh-CN" w:bidi="ar-SA"/>
        </w:rPr>
        <w:t>l</w:t>
      </w:r>
      <w:r>
        <w:rPr>
          <w:rFonts w:hint="eastAsia" w:ascii="Times New Roman" w:hAnsi="Times New Roman" w:eastAsia="宋体" w:cs="Times New Roman"/>
          <w:b/>
          <w:kern w:val="0"/>
          <w:sz w:val="24"/>
          <w:szCs w:val="24"/>
          <w:lang w:val="en-US" w:eastAsia="zh-CN" w:bidi="ar-SA"/>
        </w:rPr>
        <w:t>ation requirement</w:t>
      </w:r>
      <w:r>
        <w:rPr>
          <w:rFonts w:hint="eastAsia" w:cs="Times New Roman"/>
          <w:b/>
          <w:kern w:val="0"/>
          <w:sz w:val="24"/>
          <w:szCs w:val="24"/>
          <w:lang w:val="en-US" w:eastAsia="zh-CN" w:bidi="ar-SA"/>
        </w:rPr>
        <w: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b/>
          <w:bCs/>
          <w:u w:val="single"/>
          <w:lang w:val="en-US" w:eastAsia="zh-CN"/>
        </w:rPr>
      </w:pPr>
      <w:r>
        <w:rPr>
          <w:b/>
          <w:bCs/>
          <w:u w:val="single"/>
          <w:lang w:val="en-US" w:eastAsia="zh-CN"/>
        </w:rPr>
        <w:t xml:space="preserve">whether to introduce BS demodulation requirement with considering interference modeling to account for inter-sub-band inter-gNB CLI for SBFD-capable gNB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b/>
          <w:bCs/>
          <w:u w:val="single"/>
          <w:lang w:val="en-US" w:eastAsia="zh-CN"/>
        </w:rPr>
      </w:pPr>
      <w:r>
        <w:rPr>
          <w:b/>
          <w:bCs/>
          <w:u w:val="single"/>
          <w:lang w:val="en-US" w:eastAsia="zh-CN"/>
        </w:rPr>
        <w:t>interference modeling for inter-sub-band inter-gNB CLI when introducing BS demodulation requirement for SBFD-capable gNB if considered interference modeling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b/>
          <w:bCs/>
          <w:u w:val="single"/>
          <w:lang w:val="en-US" w:eastAsia="zh-CN"/>
        </w:rPr>
      </w:pPr>
      <w:r>
        <w:rPr>
          <w:b/>
          <w:bCs/>
          <w:u w:val="single"/>
          <w:lang w:val="en-US" w:eastAsia="zh-CN"/>
        </w:rPr>
        <w:t>whether to introduce new PUSCH requirement with UL resource muting configured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8"/>
              </w:numPr>
              <w:overflowPunct/>
              <w:autoSpaceDE/>
              <w:autoSpaceDN w:val="0"/>
              <w:adjustRightInd/>
              <w:spacing w:after="120"/>
              <w:ind w:left="720" w:firstLineChars="0"/>
              <w:jc w:val="both"/>
              <w:textAlignment w:val="auto"/>
              <w:rPr>
                <w:rFonts w:eastAsia="宋体"/>
                <w:sz w:val="21"/>
                <w:szCs w:val="21"/>
                <w:lang w:eastAsia="zh-CN"/>
              </w:rPr>
            </w:pPr>
            <w:r>
              <w:rPr>
                <w:rFonts w:hint="eastAsia" w:eastAsia="宋体"/>
                <w:sz w:val="21"/>
                <w:szCs w:val="21"/>
                <w:lang w:eastAsia="zh-CN"/>
              </w:rPr>
              <w:t>Way forward</w:t>
            </w:r>
          </w:p>
          <w:p>
            <w:pPr>
              <w:pStyle w:val="33"/>
              <w:numPr>
                <w:ilvl w:val="1"/>
                <w:numId w:val="8"/>
              </w:numPr>
              <w:overflowPunct/>
              <w:autoSpaceDE/>
              <w:autoSpaceDN w:val="0"/>
              <w:adjustRightInd/>
              <w:spacing w:after="120"/>
              <w:ind w:left="1364" w:firstLineChars="0"/>
              <w:jc w:val="both"/>
              <w:textAlignment w:val="auto"/>
              <w:rPr>
                <w:rFonts w:eastAsia="宋体"/>
                <w:sz w:val="21"/>
                <w:szCs w:val="21"/>
                <w:lang w:eastAsia="zh-CN"/>
              </w:rPr>
            </w:pPr>
            <w:r>
              <w:rPr>
                <w:rFonts w:eastAsia="宋体"/>
                <w:sz w:val="21"/>
                <w:szCs w:val="21"/>
                <w:lang w:eastAsia="zh-CN"/>
              </w:rPr>
              <w:t xml:space="preserve">Introduce PUSCH demodulation requirement with UL resource muting configured with interference modelling </w:t>
            </w:r>
          </w:p>
          <w:p>
            <w:pPr>
              <w:pStyle w:val="33"/>
              <w:numPr>
                <w:ilvl w:val="1"/>
                <w:numId w:val="8"/>
              </w:numPr>
              <w:overflowPunct/>
              <w:autoSpaceDE/>
              <w:autoSpaceDN w:val="0"/>
              <w:adjustRightInd/>
              <w:spacing w:after="120"/>
              <w:ind w:left="1364" w:firstLineChars="0"/>
              <w:jc w:val="both"/>
              <w:textAlignment w:val="auto"/>
              <w:rPr>
                <w:rFonts w:eastAsia="宋体"/>
                <w:sz w:val="21"/>
                <w:szCs w:val="21"/>
                <w:lang w:eastAsia="zh-CN"/>
              </w:rPr>
            </w:pPr>
            <w:r>
              <w:rPr>
                <w:rFonts w:eastAsia="宋体"/>
                <w:sz w:val="21"/>
                <w:szCs w:val="21"/>
                <w:lang w:eastAsia="zh-CN"/>
              </w:rPr>
              <w:t>FFS on which type</w:t>
            </w:r>
            <w:r>
              <w:rPr>
                <w:rFonts w:hint="eastAsia" w:eastAsia="宋体"/>
                <w:sz w:val="21"/>
                <w:szCs w:val="21"/>
                <w:lang w:eastAsia="zh-CN"/>
              </w:rPr>
              <w:t>(s)</w:t>
            </w:r>
            <w:r>
              <w:rPr>
                <w:rFonts w:eastAsia="宋体"/>
                <w:sz w:val="21"/>
                <w:szCs w:val="21"/>
                <w:lang w:eastAsia="zh-CN"/>
              </w:rPr>
              <w:t xml:space="preserve"> of interference will be considered to specify the PUSCH requirement</w:t>
            </w:r>
          </w:p>
          <w:p>
            <w:pPr>
              <w:pStyle w:val="33"/>
              <w:numPr>
                <w:ilvl w:val="2"/>
                <w:numId w:val="8"/>
              </w:numPr>
              <w:overflowPunct/>
              <w:autoSpaceDE/>
              <w:autoSpaceDN w:val="0"/>
              <w:adjustRightInd/>
              <w:spacing w:after="120"/>
              <w:ind w:firstLineChars="0"/>
              <w:jc w:val="both"/>
              <w:textAlignment w:val="auto"/>
              <w:rPr>
                <w:rFonts w:eastAsia="宋体"/>
                <w:sz w:val="21"/>
                <w:szCs w:val="21"/>
                <w:lang w:eastAsia="zh-CN"/>
              </w:rPr>
            </w:pPr>
            <w:r>
              <w:rPr>
                <w:rFonts w:eastAsia="宋体"/>
                <w:sz w:val="21"/>
                <w:szCs w:val="21"/>
                <w:lang w:eastAsia="zh-CN"/>
              </w:rPr>
              <w:t xml:space="preserve">gNB self-interference </w:t>
            </w:r>
          </w:p>
          <w:p>
            <w:pPr>
              <w:pStyle w:val="33"/>
              <w:numPr>
                <w:ilvl w:val="2"/>
                <w:numId w:val="8"/>
              </w:numPr>
              <w:overflowPunct/>
              <w:autoSpaceDE/>
              <w:autoSpaceDN w:val="0"/>
              <w:adjustRightInd/>
              <w:spacing w:after="120"/>
              <w:ind w:firstLineChars="0"/>
              <w:jc w:val="both"/>
              <w:textAlignment w:val="auto"/>
              <w:rPr>
                <w:rFonts w:eastAsia="宋体"/>
                <w:sz w:val="21"/>
                <w:szCs w:val="21"/>
                <w:lang w:eastAsia="zh-CN"/>
              </w:rPr>
            </w:pPr>
            <w:r>
              <w:rPr>
                <w:rFonts w:eastAsia="等线"/>
                <w:sz w:val="21"/>
                <w:szCs w:val="21"/>
              </w:rPr>
              <w:t>co-site inter-sector interference</w:t>
            </w:r>
          </w:p>
          <w:p>
            <w:pPr>
              <w:pStyle w:val="33"/>
              <w:numPr>
                <w:ilvl w:val="2"/>
                <w:numId w:val="8"/>
              </w:numPr>
              <w:overflowPunct/>
              <w:autoSpaceDE/>
              <w:autoSpaceDN w:val="0"/>
              <w:adjustRightInd/>
              <w:spacing w:after="120"/>
              <w:ind w:firstLineChars="0"/>
              <w:jc w:val="both"/>
              <w:textAlignment w:val="auto"/>
              <w:rPr>
                <w:rFonts w:eastAsia="宋体"/>
                <w:sz w:val="21"/>
                <w:szCs w:val="21"/>
                <w:lang w:eastAsia="zh-CN"/>
              </w:rPr>
            </w:pPr>
            <w:r>
              <w:rPr>
                <w:rFonts w:eastAsia="宋体"/>
                <w:sz w:val="21"/>
                <w:szCs w:val="21"/>
                <w:lang w:eastAsia="zh-CN"/>
              </w:rPr>
              <w:t>inter</w:t>
            </w:r>
            <w:r>
              <w:rPr>
                <w:rFonts w:eastAsia="等线"/>
                <w:sz w:val="21"/>
                <w:szCs w:val="21"/>
              </w:rPr>
              <w:t>-site gNB-gNB co-channel inter-subband CLI</w:t>
            </w:r>
          </w:p>
          <w:p>
            <w:pPr>
              <w:pStyle w:val="33"/>
              <w:numPr>
                <w:ilvl w:val="1"/>
                <w:numId w:val="8"/>
              </w:numPr>
              <w:overflowPunct/>
              <w:autoSpaceDE/>
              <w:autoSpaceDN w:val="0"/>
              <w:adjustRightInd/>
              <w:spacing w:after="120"/>
              <w:ind w:left="1364" w:firstLineChars="0"/>
              <w:jc w:val="both"/>
              <w:textAlignment w:val="auto"/>
              <w:rPr>
                <w:rFonts w:eastAsia="宋体"/>
                <w:sz w:val="21"/>
                <w:szCs w:val="21"/>
                <w:lang w:eastAsia="zh-CN"/>
              </w:rPr>
            </w:pPr>
            <w:r>
              <w:rPr>
                <w:rFonts w:eastAsia="宋体"/>
                <w:sz w:val="21"/>
                <w:szCs w:val="21"/>
                <w:lang w:eastAsia="zh-CN"/>
              </w:rPr>
              <w:t>FFS on how to model interference</w:t>
            </w:r>
            <w:r>
              <w:rPr>
                <w:rFonts w:hint="eastAsia" w:eastAsia="宋体"/>
                <w:sz w:val="21"/>
                <w:szCs w:val="21"/>
                <w:lang w:eastAsia="zh-CN"/>
              </w:rPr>
              <w:t xml:space="preserve"> </w:t>
            </w:r>
          </w:p>
          <w:p>
            <w:pPr>
              <w:pStyle w:val="33"/>
              <w:numPr>
                <w:ilvl w:val="2"/>
                <w:numId w:val="8"/>
              </w:numPr>
              <w:overflowPunct/>
              <w:autoSpaceDE/>
              <w:autoSpaceDN w:val="0"/>
              <w:adjustRightInd/>
              <w:spacing w:after="120"/>
              <w:ind w:firstLineChars="0"/>
              <w:jc w:val="both"/>
              <w:textAlignment w:val="auto"/>
              <w:rPr>
                <w:rFonts w:eastAsia="宋体"/>
                <w:sz w:val="21"/>
                <w:szCs w:val="21"/>
                <w:lang w:eastAsia="zh-CN"/>
              </w:rPr>
            </w:pPr>
            <w:r>
              <w:rPr>
                <w:rFonts w:eastAsia="宋体"/>
                <w:sz w:val="21"/>
                <w:szCs w:val="21"/>
                <w:lang w:eastAsia="zh-CN"/>
              </w:rPr>
              <w:t xml:space="preserve">gNB self-interference </w:t>
            </w:r>
          </w:p>
          <w:p>
            <w:pPr>
              <w:pStyle w:val="33"/>
              <w:numPr>
                <w:ilvl w:val="3"/>
                <w:numId w:val="8"/>
              </w:numPr>
              <w:overflowPunct/>
              <w:autoSpaceDE/>
              <w:autoSpaceDN w:val="0"/>
              <w:adjustRightInd/>
              <w:spacing w:after="120"/>
              <w:ind w:firstLineChars="0"/>
              <w:jc w:val="both"/>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1: modelling as additive white gaussian noise with fixed INR=-6dB targeting 1dB desense as starting pointing</w:t>
            </w:r>
          </w:p>
          <w:p>
            <w:pPr>
              <w:pStyle w:val="33"/>
              <w:numPr>
                <w:ilvl w:val="3"/>
                <w:numId w:val="8"/>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Other options are not precluded</w:t>
            </w:r>
          </w:p>
          <w:p>
            <w:pPr>
              <w:pStyle w:val="33"/>
              <w:numPr>
                <w:ilvl w:val="2"/>
                <w:numId w:val="8"/>
              </w:numPr>
              <w:overflowPunct/>
              <w:autoSpaceDE/>
              <w:autoSpaceDN w:val="0"/>
              <w:adjustRightInd/>
              <w:spacing w:after="120"/>
              <w:ind w:firstLineChars="0"/>
              <w:jc w:val="both"/>
              <w:textAlignment w:val="auto"/>
              <w:rPr>
                <w:rFonts w:eastAsia="宋体"/>
                <w:sz w:val="21"/>
                <w:szCs w:val="21"/>
                <w:lang w:eastAsia="zh-CN"/>
              </w:rPr>
            </w:pPr>
            <w:r>
              <w:rPr>
                <w:rFonts w:eastAsia="宋体"/>
                <w:sz w:val="21"/>
                <w:szCs w:val="21"/>
                <w:lang w:eastAsia="zh-CN"/>
              </w:rPr>
              <w:t>inter-sector and inter-site interference</w:t>
            </w:r>
          </w:p>
          <w:p>
            <w:pPr>
              <w:pStyle w:val="33"/>
              <w:numPr>
                <w:ilvl w:val="3"/>
                <w:numId w:val="8"/>
              </w:numPr>
              <w:overflowPunct/>
              <w:autoSpaceDE/>
              <w:autoSpaceDN w:val="0"/>
              <w:adjustRightInd/>
              <w:spacing w:after="120"/>
              <w:ind w:firstLineChars="0"/>
              <w:jc w:val="both"/>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1:</w:t>
            </w:r>
            <w:r>
              <w:rPr>
                <w:sz w:val="21"/>
                <w:szCs w:val="21"/>
              </w:rPr>
              <w:t xml:space="preserve"> </w:t>
            </w:r>
            <w:r>
              <w:rPr>
                <w:rFonts w:eastAsia="宋体"/>
                <w:sz w:val="21"/>
                <w:szCs w:val="21"/>
                <w:lang w:eastAsia="zh-CN"/>
              </w:rPr>
              <w:t>modelling as additive white gaussian noise with fixed INR = - X dB based on assumption of co-site isolation</w:t>
            </w:r>
          </w:p>
          <w:p>
            <w:pPr>
              <w:pStyle w:val="33"/>
              <w:numPr>
                <w:ilvl w:val="3"/>
                <w:numId w:val="8"/>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Other options are not precluded</w:t>
            </w:r>
          </w:p>
          <w:p>
            <w:pPr>
              <w:pStyle w:val="33"/>
              <w:numPr>
                <w:ilvl w:val="2"/>
                <w:numId w:val="8"/>
              </w:numPr>
              <w:overflowPunct/>
              <w:autoSpaceDE/>
              <w:autoSpaceDN w:val="0"/>
              <w:adjustRightInd/>
              <w:spacing w:after="120"/>
              <w:ind w:firstLineChars="0"/>
              <w:jc w:val="both"/>
              <w:textAlignment w:val="auto"/>
              <w:rPr>
                <w:rFonts w:hint="default"/>
                <w:b/>
                <w:bCs/>
                <w:u w:val="single"/>
                <w:vertAlign w:val="baseline"/>
                <w:lang w:val="en-US" w:eastAsia="zh-CN"/>
              </w:rPr>
            </w:pPr>
            <w:r>
              <w:rPr>
                <w:sz w:val="21"/>
                <w:szCs w:val="21"/>
                <w:lang w:eastAsia="zh-CN"/>
              </w:rPr>
              <w:t>inter-site gNB-gNB co-channel inter-sub-band CLI</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u w:val="singl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val="0"/>
          <w:bCs w:val="0"/>
          <w:u w:val="none"/>
          <w:lang w:val="en-US" w:eastAsia="zh-CN"/>
        </w:rPr>
      </w:pPr>
      <w:r>
        <w:rPr>
          <w:rFonts w:hint="eastAsia"/>
          <w:b w:val="0"/>
          <w:bCs w:val="0"/>
          <w:u w:val="none"/>
          <w:lang w:val="en-US" w:eastAsia="zh-CN"/>
        </w:rPr>
        <w:t xml:space="preserve">In the last meeting, RAN4 discussed the interference modelling for SBFD, including gNB self-interference, inter-sector gNB-gNB interference and inter-site gNB-gNB co-channel inter-sub-band CLI. In this section, we will discuss the interference modeling case by case.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sz w:val="21"/>
          <w:szCs w:val="21"/>
          <w:u w:val="none"/>
          <w:lang w:val="en-US" w:eastAsia="zh-CN"/>
        </w:rPr>
      </w:pPr>
      <w:r>
        <w:rPr>
          <w:rFonts w:hint="eastAsia"/>
          <w:b w:val="0"/>
          <w:bCs w:val="0"/>
          <w:sz w:val="21"/>
          <w:szCs w:val="21"/>
          <w:u w:val="none"/>
          <w:lang w:val="en-US" w:eastAsia="zh-CN"/>
        </w:rPr>
        <w:t>gNB self-interference modeling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val="0"/>
          <w:bCs w:val="0"/>
          <w:u w:val="none"/>
          <w:lang w:val="en-US" w:eastAsia="zh-CN"/>
        </w:rPr>
      </w:pPr>
      <w:r>
        <w:rPr>
          <w:rFonts w:hint="eastAsia"/>
          <w:b w:val="0"/>
          <w:bCs w:val="0"/>
          <w:u w:val="none"/>
          <w:lang w:val="en-US" w:eastAsia="zh-CN"/>
        </w:rPr>
        <w:t>For gNB self-interference, it is caused by the fact that when the gNB transmits and receives signals at the same time. The transmitted signal leaks to its own receiving end, seriously interfering with the reception of the uplink signal. Methods to suppress the self-interference include passive methods which rely on the antenna isolation between TX and RX antennas, active, active methods which utilize RF or digital processing, hybrid methods using a beamforming nulling/isolation, etc. During the study item and work item phases, the detailed evaluation in RF session was discussed and verified.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val="0"/>
          <w:bCs w:val="0"/>
          <w:u w:val="none"/>
          <w:lang w:val="en-US" w:eastAsia="zh-CN"/>
        </w:rPr>
      </w:pPr>
      <w:r>
        <w:rPr>
          <w:rFonts w:hint="eastAsia"/>
          <w:b w:val="0"/>
          <w:bCs w:val="0"/>
          <w:u w:val="none"/>
          <w:lang w:val="en-US" w:eastAsia="zh-CN"/>
        </w:rPr>
        <w:t xml:space="preserve">In general, the above suppression methodologies are basically based on the antenna, RFFE or spatial suppression. When the RF signal enters the baseband module, only residual power interference can be characterized in baseband. Although this residual interference is significantly reduced in intensity, it still has a critical impact on demodulation performance.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strike w:val="0"/>
          <w:dstrike w:val="0"/>
          <w:u w:val="none"/>
          <w:lang w:val="en-US" w:eastAsia="zh-CN"/>
        </w:rPr>
      </w:pPr>
      <w:r>
        <w:rPr>
          <w:rFonts w:hint="eastAsia"/>
          <w:b w:val="0"/>
          <w:bCs w:val="0"/>
          <w:strike w:val="0"/>
          <w:dstrike w:val="0"/>
          <w:u w:val="none"/>
          <w:lang w:val="en-US" w:eastAsia="zh-CN"/>
        </w:rPr>
        <w:t xml:space="preserve">According to the conclusion of RF session, RAN4 agreed that 0.7dB receiver sensitivity desensitization could be achieved by self-interference cancellation capability for feasibility study.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strike w:val="0"/>
          <w:dstrike w:val="0"/>
          <w:u w:val="none"/>
          <w:lang w:val="en-US" w:eastAsia="zh-CN"/>
        </w:rPr>
      </w:pPr>
      <w:r>
        <w:rPr>
          <w:rFonts w:hint="eastAsia"/>
          <w:b w:val="0"/>
          <w:bCs w:val="0"/>
          <w:strike w:val="0"/>
          <w:dstrike w:val="0"/>
          <w:u w:val="none"/>
          <w:lang w:val="en-US" w:eastAsia="zh-CN"/>
        </w:rPr>
        <w:t xml:space="preserve">Specifically, RAN1 considered a more detailed modeling approach, a ratio of self-interference (RSI) was introduced to represent the self-interference suppression capability of gNB for system level simulation, means of spatial isolation, subband frequency isolation, digital interference cancellation and beamforming nulling/isolation, etc.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Observation 1. 0.</w:t>
      </w:r>
      <w:r>
        <w:rPr>
          <w:rFonts w:hint="eastAsia"/>
          <w:b/>
          <w:bCs/>
          <w:i/>
          <w:iCs/>
          <w:highlight w:val="none"/>
          <w:u w:val="none"/>
          <w:lang w:val="en-US" w:eastAsia="zh-CN"/>
        </w:rPr>
        <w:t>7dB re</w:t>
      </w:r>
      <w:r>
        <w:rPr>
          <w:rFonts w:hint="eastAsia"/>
          <w:b/>
          <w:bCs/>
          <w:i/>
          <w:iCs/>
          <w:u w:val="none"/>
          <w:lang w:val="en-US" w:eastAsia="zh-CN"/>
        </w:rPr>
        <w:t xml:space="preserve">ceiver sensitivity desensitization is achieved by self-interference cancellation capability for feasibility study in RF session.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Proposal 2. Propose modelling as additive white Gaussian noise with 1dB receiver desensitization for gNB self-interference.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sz w:val="21"/>
          <w:szCs w:val="21"/>
          <w:u w:val="none"/>
          <w:lang w:val="en-US" w:eastAsia="zh-CN"/>
        </w:rPr>
      </w:pPr>
      <w:r>
        <w:rPr>
          <w:rFonts w:hint="eastAsia"/>
          <w:b w:val="0"/>
          <w:bCs w:val="0"/>
          <w:sz w:val="21"/>
          <w:szCs w:val="21"/>
          <w:u w:val="none"/>
          <w:lang w:val="en-US" w:eastAsia="zh-CN"/>
        </w:rPr>
        <w:t xml:space="preserve">inter-sector gNB-gNB interference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val="0"/>
          <w:bCs w:val="0"/>
          <w:u w:val="none"/>
          <w:lang w:val="en-US" w:eastAsia="zh-CN"/>
        </w:rPr>
      </w:pPr>
      <w:r>
        <w:rPr>
          <w:rFonts w:hint="eastAsia"/>
          <w:b w:val="0"/>
          <w:bCs w:val="0"/>
          <w:u w:val="none"/>
          <w:lang w:val="en-US" w:eastAsia="zh-CN"/>
        </w:rPr>
        <w:t xml:space="preserve">Regarding inter-sector gNB-gNB interference, it is caused by the channel between gNB of aggressor and victim are near field when two gNB are co-location. According to the previous feasibility study, the implementation of controlling the co-site inter sector co-channel inter-subband interference depends on spatial isolation, beam nulling/isolation capability, frequency isolation, and digital interference suppression, etc. From this point of view, co-site inter-sector gNB-gNB interference is more similar to gNB self-interference. Meanwhile, according to the conclusion of TR 38.858, 1dB receiver sensitivity desensitization could be achieved by co-site inter-sector co-channel inter-subband interference. However, another conclusion mentioned that 1dB desensitization can not able to achieve that because the receiver is saturated, and the RC processing is not feasible.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Observation 2. The implementation of controlling the co-site inter sector co-channel inter-subband interference depends on spatial isolation, beam nulling/isolation, frequency isolation and digital interference suppression.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Observation 3. Co-site inter-sector gNB-gNB interference is more similar to gNB self-interference.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Observation 4. 0.7 dB receiver sensitivity desensitization may or may not be achieved by co-site inter-sector co-channel inter-subband interference.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Proposal 3. Propose modelling as additive white Gaussian noise with 0.7dB receiver desensitization for gNB self-interference.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sz w:val="21"/>
          <w:szCs w:val="21"/>
          <w:u w:val="none"/>
          <w:lang w:val="en-US" w:eastAsia="zh-CN"/>
        </w:rPr>
      </w:pPr>
      <w:r>
        <w:rPr>
          <w:rFonts w:hint="eastAsia"/>
          <w:b w:val="0"/>
          <w:bCs w:val="0"/>
          <w:sz w:val="21"/>
          <w:szCs w:val="21"/>
          <w:u w:val="none"/>
          <w:lang w:val="en-US" w:eastAsia="zh-CN"/>
        </w:rPr>
        <w:t>Inter-site gNB-gNB co-channel inter-sub-band CLI</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val="0"/>
          <w:bCs w:val="0"/>
          <w:u w:val="none"/>
          <w:lang w:val="en-US" w:eastAsia="zh-CN"/>
        </w:rPr>
      </w:pPr>
      <w:r>
        <w:rPr>
          <w:rFonts w:hint="eastAsia"/>
          <w:b w:val="0"/>
          <w:bCs w:val="0"/>
          <w:u w:val="none"/>
          <w:lang w:val="en-US" w:eastAsia="zh-CN"/>
        </w:rPr>
        <w:t>Due to the high transmission power of aggressor gNB, the UL subband of the victim gNB will be suffered by the DL subband signal passing through the fading channel, as shown in the following Figure 1. In general, inter-site gNB-gNB co-channel CLI is more similar to co-channel homogeneous and heterogeneous network deployment or inter cell interference scenarios. In the previous study of RAN4, the interference is modeled as interference profiles, represented by DIP or INR values.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val="0"/>
          <w:bCs w:val="0"/>
          <w:u w:val="none"/>
          <w:lang w:val="en-US" w:eastAsia="zh-CN"/>
        </w:rPr>
      </w:pPr>
      <w:r>
        <w:rPr>
          <w:rFonts w:hint="eastAsia"/>
          <w:b w:val="0"/>
          <w:bCs w:val="0"/>
          <w:u w:val="none"/>
          <w:lang w:val="en-US" w:eastAsia="zh-CN"/>
        </w:rPr>
        <w:t xml:space="preserve">Therefore, from our understanding, gNB-gNB co-channel CLI could be modeled as INR or DIP values from RAN4 demodulation perspective. The only point to note is how to derive the INR or DIP values because of the different deployment and interference types.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u w:val="none"/>
          <w:lang w:val="en-US" w:eastAsia="zh-CN"/>
        </w:rPr>
      </w:pPr>
      <w:r>
        <w:rPr>
          <w:rFonts w:hint="eastAsia"/>
          <w:b w:val="0"/>
          <w:bCs w:val="0"/>
          <w:u w:val="none"/>
          <w:lang w:val="en-US" w:eastAsia="zh-CN"/>
        </w:rPr>
        <w:t xml:space="preserve">However, the key issue is how to handle the beam coordination between gNBs. Currently, gNB-gNB co-channel interference also could be suppressed beam management, such as Tx beam nulling, etc. If RAN4 wants to evaluate the gNB-gNB interference, this beam coordination issue should be discussed. Different beam coordination means different interference level. </w:t>
      </w:r>
    </w:p>
    <w:p>
      <w:pPr>
        <w:spacing w:before="93"/>
        <w:jc w:val="center"/>
        <w:rPr>
          <w:rFonts w:cs="Times New Roman"/>
        </w:rPr>
      </w:pPr>
      <w:r>
        <w:drawing>
          <wp:inline distT="0" distB="0" distL="114300" distR="114300">
            <wp:extent cx="3783330" cy="1976120"/>
            <wp:effectExtent l="0" t="0" r="1143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3783330" cy="1976120"/>
                    </a:xfrm>
                    <a:prstGeom prst="rect">
                      <a:avLst/>
                    </a:prstGeom>
                    <a:noFill/>
                    <a:ln>
                      <a:noFill/>
                    </a:ln>
                  </pic:spPr>
                </pic:pic>
              </a:graphicData>
            </a:graphic>
          </wp:inline>
        </w:drawing>
      </w:r>
    </w:p>
    <w:p>
      <w:pPr>
        <w:spacing w:before="93"/>
        <w:jc w:val="center"/>
        <w:rPr>
          <w:rFonts w:cs="Times New Roman"/>
        </w:rPr>
      </w:pPr>
      <w:r>
        <w:rPr>
          <w:rFonts w:hint="eastAsia" w:cs="Times New Roman"/>
        </w:rPr>
        <w:t>F</w:t>
      </w:r>
      <w:r>
        <w:rPr>
          <w:rFonts w:cs="Times New Roman"/>
        </w:rPr>
        <w:t xml:space="preserve">ig. </w:t>
      </w:r>
      <w:r>
        <w:rPr>
          <w:rFonts w:hint="eastAsia" w:cs="Times New Roman"/>
          <w:lang w:val="en-US" w:eastAsia="zh-CN"/>
        </w:rPr>
        <w:t>1</w:t>
      </w:r>
      <w:r>
        <w:rPr>
          <w:rFonts w:cs="Times New Roman"/>
        </w:rPr>
        <w:t xml:space="preserve"> Inter-site gNB-gNB co-channel inter-subband CLI modelling.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u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Observation 5. The UL subband of the victim gNB will be suffered by the DL subband signal passing through the fading channel.</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 xml:space="preserve">Observation 6. The gNB-gNB subband CLI can be modeled as interference profiles.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Observation 7. The issue of beam coordination between gNBs needs to be considered during the modeling process.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 xml:space="preserve">Proposal 3. RAN4 needs more detailed discussion on beam coordination for gNB-gNB CLI modeling .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Proposal 4. Propose to use the derived INR or DIP calculate methodology to model gNB-gNB CLI if necessary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val="0"/>
          <w:bCs w:val="0"/>
          <w:u w:val="none"/>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of </w:t>
      </w:r>
      <w:r>
        <w:rPr>
          <w:rFonts w:hint="eastAsia"/>
          <w:bCs/>
          <w:kern w:val="0"/>
          <w:szCs w:val="21"/>
          <w:lang w:val="en-US" w:eastAsia="zh-CN"/>
        </w:rPr>
        <w:t>SBFD demodulation requirements</w:t>
      </w:r>
      <w:r>
        <w:rPr>
          <w:rFonts w:hint="eastAsia"/>
          <w:bCs/>
          <w:kern w:val="0"/>
          <w:szCs w:val="21"/>
        </w:rPr>
        <w:t>, The conclusions are:</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
          <w:bCs/>
          <w:i/>
          <w:iCs/>
          <w:u w:val="none"/>
          <w:lang w:val="en-US" w:eastAsia="zh-CN"/>
        </w:rPr>
      </w:pPr>
      <w:r>
        <w:rPr>
          <w:rFonts w:hint="eastAsia"/>
          <w:b/>
          <w:bCs/>
          <w:i/>
          <w:iCs/>
          <w:u w:val="none"/>
          <w:lang w:val="en-US" w:eastAsia="zh-CN"/>
        </w:rPr>
        <w:t>Observation 1. 0.</w:t>
      </w:r>
      <w:r>
        <w:rPr>
          <w:rFonts w:hint="eastAsia"/>
          <w:b/>
          <w:bCs/>
          <w:i/>
          <w:iCs/>
          <w:highlight w:val="none"/>
          <w:u w:val="none"/>
          <w:lang w:val="en-US" w:eastAsia="zh-CN"/>
        </w:rPr>
        <w:t>7dB re</w:t>
      </w:r>
      <w:r>
        <w:rPr>
          <w:rFonts w:hint="eastAsia"/>
          <w:b/>
          <w:bCs/>
          <w:i/>
          <w:iCs/>
          <w:u w:val="none"/>
          <w:lang w:val="en-US" w:eastAsia="zh-CN"/>
        </w:rPr>
        <w:t xml:space="preserve">ceiver sensitivity desensitization is achieved by self-interference cancellation capability for feasibility study in RF session.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Observation 2. The implementation of controlling the co-site inter sector co-channel inter-subband interference depends on spatial isolation, beam nulling/isolation, frequency isolation and digital interference suppression.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Observation 3. Co-site inter-sector gNB-gNB interference is more similar to gNB self-interference.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Observation 4. 0.7 dB receiver sensitivity desensitization may or may not be achieved by co-site inter-sector co-channel inter-subband interference.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Observation 5. The UL subband of the victim gNB will be suffered by the DL subband signal passing through the fading channel.</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 xml:space="preserve">Observation 6. The gNB-gNB subband CLI can be modeled as interference profiles.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bCs/>
          <w:i/>
          <w:iCs/>
          <w:u w:val="none"/>
          <w:lang w:val="en-US" w:eastAsia="zh-CN"/>
        </w:rPr>
      </w:pPr>
      <w:r>
        <w:rPr>
          <w:rFonts w:hint="eastAsia"/>
          <w:b/>
          <w:bCs/>
          <w:i/>
          <w:iCs/>
          <w:u w:val="none"/>
          <w:lang w:val="en-US" w:eastAsia="zh-CN"/>
        </w:rPr>
        <w:t>Observation 7. The issue of beam coordination between gNBs needs to be considered during the modeling process.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lang w:val="en-US" w:eastAsia="zh-CN" w:bidi="ar-SA"/>
        </w:rPr>
      </w:pPr>
      <w:r>
        <w:rPr>
          <w:rFonts w:hint="eastAsia" w:cs="Times New Roman"/>
          <w:b/>
          <w:bCs/>
          <w:i/>
          <w:iCs/>
          <w:kern w:val="2"/>
          <w:sz w:val="21"/>
          <w:lang w:val="en-US" w:eastAsia="zh-CN" w:bidi="ar-SA"/>
        </w:rPr>
        <w:t>Proposal 1. Propose to do not define demodulation requirements for SBFD aware UEs.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b/>
          <w:bCs/>
          <w:i/>
          <w:iCs/>
          <w:u w:val="none"/>
          <w:lang w:val="en-US" w:eastAsia="zh-CN"/>
        </w:rPr>
      </w:pPr>
      <w:r>
        <w:rPr>
          <w:rFonts w:hint="eastAsia"/>
          <w:b/>
          <w:bCs/>
          <w:i/>
          <w:iCs/>
          <w:u w:val="none"/>
          <w:lang w:val="en-US" w:eastAsia="zh-CN"/>
        </w:rPr>
        <w:t>Proposal 2. Propose modelling as additive white Gaussian noise with 1dB receiver desensitization for gNB self-interference.</w:t>
      </w:r>
      <w:r>
        <w:rPr>
          <w:rFonts w:hint="eastAsia"/>
          <w:b/>
          <w:bCs/>
          <w:i/>
          <w:iCs/>
          <w:u w:val="none"/>
          <w:lang w:val="en-US" w:eastAsia="zh-CN"/>
        </w:rPr>
        <w:br w:type="textWrapping"/>
      </w:r>
      <w:r>
        <w:rPr>
          <w:rFonts w:hint="eastAsia"/>
          <w:b/>
          <w:bCs/>
          <w:i/>
          <w:iCs/>
          <w:u w:val="none"/>
          <w:lang w:val="en-US" w:eastAsia="zh-CN"/>
        </w:rPr>
        <w:t xml:space="preserve">Proposal 3. RAN4 needs more detailed discussion on beam coordination for gNB-gNB CLI modeling .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Cs/>
          <w:kern w:val="0"/>
          <w:szCs w:val="21"/>
        </w:rPr>
      </w:pPr>
      <w:r>
        <w:rPr>
          <w:rFonts w:hint="eastAsia"/>
          <w:b/>
          <w:bCs/>
          <w:i/>
          <w:iCs/>
          <w:u w:val="none"/>
          <w:lang w:val="en-US" w:eastAsia="zh-CN"/>
        </w:rPr>
        <w:t>Proposal 4. Propose to use the derived INR or DIP calculate methodology to model gNB-gNB CLI if necessary .</w:t>
      </w:r>
    </w:p>
    <w:p>
      <w:pPr>
        <w:widowControl w:val="0"/>
        <w:numPr>
          <w:ilvl w:val="255"/>
          <w:numId w:val="0"/>
        </w:numPr>
        <w:spacing w:beforeLines="0" w:afterLines="0" w:line="240" w:lineRule="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9"/>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RP-241614, Revised WID: Evolution of NR duplex operation: Sub-band full duplex (SBFD), Huawei</w:t>
      </w:r>
    </w:p>
    <w:p>
      <w:pPr>
        <w:pStyle w:val="33"/>
        <w:numPr>
          <w:ilvl w:val="0"/>
          <w:numId w:val="9"/>
        </w:numPr>
        <w:spacing w:afterLines="0" w:line="259" w:lineRule="auto"/>
        <w:ind w:right="-22"/>
        <w:jc w:val="left"/>
        <w:rPr>
          <w:rFonts w:hint="default"/>
          <w:sz w:val="20"/>
          <w:lang w:val="en-US" w:eastAsia="zh-CN"/>
        </w:rPr>
      </w:pPr>
      <w:r>
        <w:rPr>
          <w:rFonts w:hint="default"/>
          <w:sz w:val="20"/>
          <w:lang w:val="en-US" w:eastAsia="zh-CN"/>
        </w:rPr>
        <w:t>R4-2508723</w:t>
      </w:r>
      <w:r>
        <w:rPr>
          <w:rFonts w:hint="eastAsia"/>
          <w:sz w:val="20"/>
          <w:lang w:val="en-US" w:eastAsia="zh-CN"/>
        </w:rPr>
        <w:t>, Way Forward for [115][330] NR_duplex_evo_demod, Samsung.</w:t>
      </w:r>
    </w:p>
    <w:p>
      <w:pPr>
        <w:pStyle w:val="33"/>
        <w:numPr>
          <w:ilvl w:val="0"/>
          <w:numId w:val="0"/>
        </w:numPr>
        <w:spacing w:afterLines="0" w:line="259" w:lineRule="auto"/>
        <w:ind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trike w:val="0"/>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312D03"/>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0441B2"/>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5F66454"/>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7F74CA0"/>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4138A"/>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EA58E4"/>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1E6C3A"/>
    <w:rsid w:val="0D2A14D7"/>
    <w:rsid w:val="0D2D522C"/>
    <w:rsid w:val="0D4B44A1"/>
    <w:rsid w:val="0D6309C9"/>
    <w:rsid w:val="0D6811B4"/>
    <w:rsid w:val="0D6E2620"/>
    <w:rsid w:val="0D704E21"/>
    <w:rsid w:val="0D7F429D"/>
    <w:rsid w:val="0D7F48FE"/>
    <w:rsid w:val="0D883C88"/>
    <w:rsid w:val="0D8F2DDB"/>
    <w:rsid w:val="0D936E72"/>
    <w:rsid w:val="0D966BF7"/>
    <w:rsid w:val="0DC64280"/>
    <w:rsid w:val="0DC826FC"/>
    <w:rsid w:val="0DCC3AE8"/>
    <w:rsid w:val="0DD0091C"/>
    <w:rsid w:val="0DD87842"/>
    <w:rsid w:val="0DDD3E46"/>
    <w:rsid w:val="0DDF633A"/>
    <w:rsid w:val="0DE02C68"/>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413DCE"/>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C1B33"/>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32576"/>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5EB4BF6"/>
    <w:rsid w:val="1608480E"/>
    <w:rsid w:val="160C4E29"/>
    <w:rsid w:val="161520B8"/>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D29F1"/>
    <w:rsid w:val="1F4F2219"/>
    <w:rsid w:val="1F5353B6"/>
    <w:rsid w:val="1F614D01"/>
    <w:rsid w:val="1F703A95"/>
    <w:rsid w:val="1F721405"/>
    <w:rsid w:val="1F804693"/>
    <w:rsid w:val="1F825709"/>
    <w:rsid w:val="1F935819"/>
    <w:rsid w:val="1FA6556D"/>
    <w:rsid w:val="1FAF2571"/>
    <w:rsid w:val="1FB77E18"/>
    <w:rsid w:val="1FC55EDA"/>
    <w:rsid w:val="1FC754E9"/>
    <w:rsid w:val="1FCD1032"/>
    <w:rsid w:val="1FCE157D"/>
    <w:rsid w:val="1FCE593C"/>
    <w:rsid w:val="1FE312AC"/>
    <w:rsid w:val="1FEC5915"/>
    <w:rsid w:val="1FED32EF"/>
    <w:rsid w:val="20087437"/>
    <w:rsid w:val="20106DAD"/>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3249B"/>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70C54"/>
    <w:rsid w:val="23816932"/>
    <w:rsid w:val="23923EC7"/>
    <w:rsid w:val="23972CF0"/>
    <w:rsid w:val="239C062C"/>
    <w:rsid w:val="23A9484E"/>
    <w:rsid w:val="23AB0365"/>
    <w:rsid w:val="23B32F98"/>
    <w:rsid w:val="23B84268"/>
    <w:rsid w:val="23D17D7B"/>
    <w:rsid w:val="23D237DD"/>
    <w:rsid w:val="23D36D91"/>
    <w:rsid w:val="23DB76DF"/>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41EDB"/>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481AE8"/>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DF1E78"/>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42D93"/>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AF9701E"/>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03FA2"/>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571964"/>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5646B"/>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21990"/>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2746E6"/>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95F"/>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7F2083F"/>
    <w:rsid w:val="380D02B1"/>
    <w:rsid w:val="38230C0A"/>
    <w:rsid w:val="382B1BDF"/>
    <w:rsid w:val="382E392C"/>
    <w:rsid w:val="38342E90"/>
    <w:rsid w:val="384B7332"/>
    <w:rsid w:val="385056AF"/>
    <w:rsid w:val="38627659"/>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8F60771"/>
    <w:rsid w:val="390C0A7B"/>
    <w:rsid w:val="391A3359"/>
    <w:rsid w:val="39285D57"/>
    <w:rsid w:val="393B1AC1"/>
    <w:rsid w:val="394B3272"/>
    <w:rsid w:val="394B6470"/>
    <w:rsid w:val="395C6EA8"/>
    <w:rsid w:val="39652C4A"/>
    <w:rsid w:val="39872512"/>
    <w:rsid w:val="398B507A"/>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5C70FE"/>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3E45AC"/>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303F5"/>
    <w:rsid w:val="42187EBE"/>
    <w:rsid w:val="42273D8C"/>
    <w:rsid w:val="4227435A"/>
    <w:rsid w:val="42300022"/>
    <w:rsid w:val="42450DF3"/>
    <w:rsid w:val="424B5824"/>
    <w:rsid w:val="425158A3"/>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44B39"/>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8337C"/>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AF41CE"/>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83633"/>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C66F74"/>
    <w:rsid w:val="48D429DD"/>
    <w:rsid w:val="48E01C77"/>
    <w:rsid w:val="48E22285"/>
    <w:rsid w:val="48E50D90"/>
    <w:rsid w:val="48EB0D16"/>
    <w:rsid w:val="48F306DC"/>
    <w:rsid w:val="48FA15CC"/>
    <w:rsid w:val="48FC0D52"/>
    <w:rsid w:val="49027758"/>
    <w:rsid w:val="49064D87"/>
    <w:rsid w:val="490C020A"/>
    <w:rsid w:val="491B63DF"/>
    <w:rsid w:val="491D63E9"/>
    <w:rsid w:val="492D685E"/>
    <w:rsid w:val="4932285C"/>
    <w:rsid w:val="49384E02"/>
    <w:rsid w:val="493E2F78"/>
    <w:rsid w:val="495217DF"/>
    <w:rsid w:val="49530EA7"/>
    <w:rsid w:val="4958367A"/>
    <w:rsid w:val="497F2F62"/>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61C9B"/>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B7FA8"/>
    <w:rsid w:val="4B9D4011"/>
    <w:rsid w:val="4BB36BDD"/>
    <w:rsid w:val="4BB60507"/>
    <w:rsid w:val="4BC14B20"/>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52238"/>
    <w:rsid w:val="4D462159"/>
    <w:rsid w:val="4D47409F"/>
    <w:rsid w:val="4D525BE3"/>
    <w:rsid w:val="4D566017"/>
    <w:rsid w:val="4D6022FC"/>
    <w:rsid w:val="4D637556"/>
    <w:rsid w:val="4D7358D6"/>
    <w:rsid w:val="4D7D3EFB"/>
    <w:rsid w:val="4D7F61A3"/>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5C3E"/>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3052E"/>
    <w:rsid w:val="4EC56E5F"/>
    <w:rsid w:val="4EDB58B2"/>
    <w:rsid w:val="4EE925CE"/>
    <w:rsid w:val="4EEB1A94"/>
    <w:rsid w:val="4EEB74E5"/>
    <w:rsid w:val="4EEF2E30"/>
    <w:rsid w:val="4EF24828"/>
    <w:rsid w:val="4EFE7F59"/>
    <w:rsid w:val="4F096E3A"/>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6F7156"/>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02DC1"/>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54E72"/>
    <w:rsid w:val="5558406C"/>
    <w:rsid w:val="55594FFB"/>
    <w:rsid w:val="55637CEB"/>
    <w:rsid w:val="55677DDA"/>
    <w:rsid w:val="55757FB9"/>
    <w:rsid w:val="55832BF8"/>
    <w:rsid w:val="55884237"/>
    <w:rsid w:val="558C7FAA"/>
    <w:rsid w:val="558E40AB"/>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53049"/>
    <w:rsid w:val="5617461D"/>
    <w:rsid w:val="56304FC4"/>
    <w:rsid w:val="5632642A"/>
    <w:rsid w:val="5637362F"/>
    <w:rsid w:val="56375B61"/>
    <w:rsid w:val="564944F4"/>
    <w:rsid w:val="564E5820"/>
    <w:rsid w:val="564E7F2C"/>
    <w:rsid w:val="56532B2E"/>
    <w:rsid w:val="56630C00"/>
    <w:rsid w:val="567739D2"/>
    <w:rsid w:val="56775A0A"/>
    <w:rsid w:val="568157A2"/>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6D26BF"/>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02A3F"/>
    <w:rsid w:val="58E6349C"/>
    <w:rsid w:val="58EF63EE"/>
    <w:rsid w:val="590317F0"/>
    <w:rsid w:val="59075000"/>
    <w:rsid w:val="590F26CD"/>
    <w:rsid w:val="591E2608"/>
    <w:rsid w:val="592374B4"/>
    <w:rsid w:val="593559FD"/>
    <w:rsid w:val="594079B2"/>
    <w:rsid w:val="59570CE3"/>
    <w:rsid w:val="596A688E"/>
    <w:rsid w:val="596B592C"/>
    <w:rsid w:val="5987482A"/>
    <w:rsid w:val="598C6F19"/>
    <w:rsid w:val="598F4917"/>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964FA"/>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1476D"/>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77BDD"/>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960CB"/>
    <w:rsid w:val="619E7CE8"/>
    <w:rsid w:val="61AD68BC"/>
    <w:rsid w:val="61B173D2"/>
    <w:rsid w:val="61CE295D"/>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57FE5"/>
    <w:rsid w:val="62A81A26"/>
    <w:rsid w:val="62B1166E"/>
    <w:rsid w:val="62BA7A46"/>
    <w:rsid w:val="62C376AC"/>
    <w:rsid w:val="62CE13CB"/>
    <w:rsid w:val="62D2197B"/>
    <w:rsid w:val="62DB028F"/>
    <w:rsid w:val="62F458F9"/>
    <w:rsid w:val="62F6011A"/>
    <w:rsid w:val="62FD2BA9"/>
    <w:rsid w:val="630C3A93"/>
    <w:rsid w:val="631746CA"/>
    <w:rsid w:val="63246334"/>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5841F8"/>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B7EC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6F87E26"/>
    <w:rsid w:val="67051B31"/>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D71074"/>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6D6439"/>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6441F7"/>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4F1406"/>
    <w:rsid w:val="6D5D0DB5"/>
    <w:rsid w:val="6D6855B1"/>
    <w:rsid w:val="6D7B4AB7"/>
    <w:rsid w:val="6D836C02"/>
    <w:rsid w:val="6D89784B"/>
    <w:rsid w:val="6D9057BE"/>
    <w:rsid w:val="6D9D64E4"/>
    <w:rsid w:val="6D9E0566"/>
    <w:rsid w:val="6DBE7F27"/>
    <w:rsid w:val="6DCD0146"/>
    <w:rsid w:val="6DD02C0B"/>
    <w:rsid w:val="6DD05277"/>
    <w:rsid w:val="6DF1628A"/>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A4583"/>
    <w:rsid w:val="6E7D300B"/>
    <w:rsid w:val="6E823708"/>
    <w:rsid w:val="6E8B3F00"/>
    <w:rsid w:val="6E920B5B"/>
    <w:rsid w:val="6E9336A3"/>
    <w:rsid w:val="6E9758D2"/>
    <w:rsid w:val="6E990B16"/>
    <w:rsid w:val="6E9F4E0D"/>
    <w:rsid w:val="6EA41295"/>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8608A"/>
    <w:rsid w:val="6F5E0205"/>
    <w:rsid w:val="6F6F14E1"/>
    <w:rsid w:val="6F7D0430"/>
    <w:rsid w:val="6F9F2212"/>
    <w:rsid w:val="6F9F2B2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511377"/>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45822"/>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11B3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46F39"/>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8B5965"/>
    <w:rsid w:val="75955DA9"/>
    <w:rsid w:val="75977910"/>
    <w:rsid w:val="75985DFA"/>
    <w:rsid w:val="759F2A35"/>
    <w:rsid w:val="75A83D9A"/>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11C0"/>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562FC"/>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3468E2"/>
    <w:rsid w:val="78460D63"/>
    <w:rsid w:val="78470057"/>
    <w:rsid w:val="78497C2E"/>
    <w:rsid w:val="78502D35"/>
    <w:rsid w:val="78513908"/>
    <w:rsid w:val="7854087B"/>
    <w:rsid w:val="78572DD4"/>
    <w:rsid w:val="786A4053"/>
    <w:rsid w:val="78782A0D"/>
    <w:rsid w:val="78785A2F"/>
    <w:rsid w:val="787B5060"/>
    <w:rsid w:val="788720E7"/>
    <w:rsid w:val="78A90B04"/>
    <w:rsid w:val="78C4103B"/>
    <w:rsid w:val="78C53485"/>
    <w:rsid w:val="78C6693F"/>
    <w:rsid w:val="78C76A01"/>
    <w:rsid w:val="78E26CE0"/>
    <w:rsid w:val="78EC45D8"/>
    <w:rsid w:val="78EC6DF0"/>
    <w:rsid w:val="78F45D01"/>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131B7"/>
    <w:rsid w:val="79D33056"/>
    <w:rsid w:val="79D50961"/>
    <w:rsid w:val="79D715DF"/>
    <w:rsid w:val="79DC713A"/>
    <w:rsid w:val="79EC0256"/>
    <w:rsid w:val="79F60153"/>
    <w:rsid w:val="79FB6E2C"/>
    <w:rsid w:val="7A1A02CE"/>
    <w:rsid w:val="7A2A345A"/>
    <w:rsid w:val="7A2B35FD"/>
    <w:rsid w:val="7A36322F"/>
    <w:rsid w:val="7A3C2BAA"/>
    <w:rsid w:val="7A3D2527"/>
    <w:rsid w:val="7A4C2D60"/>
    <w:rsid w:val="7A564644"/>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91634"/>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AF0CCF"/>
    <w:rsid w:val="7BCD64C2"/>
    <w:rsid w:val="7BD005E8"/>
    <w:rsid w:val="7BD3716B"/>
    <w:rsid w:val="7BEA6C58"/>
    <w:rsid w:val="7BEC2711"/>
    <w:rsid w:val="7BF043E5"/>
    <w:rsid w:val="7BF55850"/>
    <w:rsid w:val="7C1054B7"/>
    <w:rsid w:val="7C26369C"/>
    <w:rsid w:val="7C2A465C"/>
    <w:rsid w:val="7C305879"/>
    <w:rsid w:val="7C3411E7"/>
    <w:rsid w:val="7C34521A"/>
    <w:rsid w:val="7C3579D0"/>
    <w:rsid w:val="7C3A144E"/>
    <w:rsid w:val="7C4A2BD1"/>
    <w:rsid w:val="7C576C70"/>
    <w:rsid w:val="7C607511"/>
    <w:rsid w:val="7C6E4349"/>
    <w:rsid w:val="7C716632"/>
    <w:rsid w:val="7C77043F"/>
    <w:rsid w:val="7C8A7CDC"/>
    <w:rsid w:val="7C9838F9"/>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B3500"/>
    <w:rsid w:val="7DEF0BCD"/>
    <w:rsid w:val="7DF30332"/>
    <w:rsid w:val="7E090313"/>
    <w:rsid w:val="7E127EEE"/>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11750"/>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A39E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2025-08-15T12:30:01Z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3439EE5773584E8A898B9B2BF5D894F7</vt:lpwstr>
  </property>
</Properties>
</file>